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adjustRightInd w:val="0"/>
        <w:snapToGrid w:val="0"/>
        <w:jc w:val="left"/>
        <w:rPr>
          <w:rFonts w:ascii="Times New Roman" w:eastAsia="黑体" w:cs="仿宋" w:hAnsi="Times New Roman"/>
          <w:sz w:val="28"/>
          <w:szCs w:val="28"/>
        </w:rPr>
      </w:pPr>
      <w:r>
        <w:rPr>
          <w:rFonts w:ascii="Times New Roman" w:eastAsia="黑体" w:cs="仿宋" w:hAnsi="Times New Roman" w:hint="eastAsia"/>
          <w:sz w:val="28"/>
          <w:szCs w:val="28"/>
        </w:rPr>
        <w:t>附件</w:t>
      </w:r>
      <w:r>
        <w:rPr>
          <w:rFonts w:ascii="Times New Roman" w:eastAsia="黑体" w:cs="仿宋" w:hAnsi="Times New Roman"/>
          <w:sz w:val="28"/>
          <w:szCs w:val="28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Lines="100" w:before="312" w:line="560" w:lineRule="exact"/>
        <w:ind w:leftChars="-50" w:left="-105"/>
        <w:jc w:val="center"/>
        <w:textAlignment w:val="auto"/>
        <w:rPr>
          <w:rFonts w:ascii="Times New Roman" w:eastAsia="方正小标宋简体" w:cs="方正小标宋简体" w:hAnsi="Times New Roman" w:hint="eastAsia"/>
          <w:kern w:val="0"/>
          <w:sz w:val="44"/>
          <w:szCs w:val="44"/>
        </w:rPr>
      </w:pPr>
      <w:r>
        <w:rPr>
          <w:rFonts w:ascii="Times New Roman" w:eastAsia="方正小标宋简体" w:cs="方正小标宋简体" w:hAnsi="Times New Roman" w:hint="eastAsia"/>
          <w:b/>
          <w:kern w:val="0"/>
          <w:sz w:val="44"/>
          <w:szCs w:val="44"/>
        </w:rPr>
        <w:t>202</w:t>
      </w:r>
      <w:r>
        <w:rPr>
          <w:rFonts w:ascii="Times New Roman" w:eastAsia="方正小标宋简体" w:cs="方正小标宋简体" w:hAnsi="Times New Roman" w:hint="eastAsia"/>
          <w:b/>
          <w:kern w:val="0"/>
          <w:sz w:val="44"/>
          <w:szCs w:val="44"/>
          <w:lang w:val="en-US" w:eastAsia="zh-CN"/>
        </w:rPr>
        <w:t>4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</w:rPr>
        <w:t>年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  <w:lang w:val="en-US" w:eastAsia="zh-CN"/>
        </w:rPr>
        <w:t>中等职业教育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</w:rPr>
        <w:t>国家奖学金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  <w:lang w:eastAsia="zh-CN"/>
        </w:rPr>
        <w:t>“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</w:rPr>
        <w:t>表现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  <w:lang w:val="en-US" w:eastAsia="zh-CN"/>
        </w:rPr>
        <w:t>特别</w:t>
      </w:r>
      <w:r>
        <w:rPr>
          <w:rFonts w:ascii="Times New Roman" w:eastAsia="方正小标宋简体" w:cs="方正小标宋简体" w:hAnsi="Times New Roman" w:hint="eastAsia"/>
          <w:kern w:val="0"/>
          <w:sz w:val="44"/>
          <w:szCs w:val="44"/>
        </w:rPr>
        <w:t>突出”参考说明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5"/>
        <w:textAlignment w:val="auto"/>
        <w:rPr>
          <w:rFonts w:ascii="Times New Roman" w:eastAsia="仿宋" w:cs="仿宋" w:hAnsi="Times New Roman" w:hint="eastAsia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5"/>
        <w:textAlignment w:val="auto"/>
        <w:rPr>
          <w:rFonts w:ascii="Times New Roman" w:eastAsia="仿宋" w:cs="仿宋" w:hAnsi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</w:rPr>
        <w:t>根据《中等职业教育国家奖学金评审办法》（以下简称《</w:t>
      </w: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  <w:lang w:val="en-US" w:eastAsia="zh-CN"/>
        </w:rPr>
        <w:t>评审</w:t>
      </w: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</w:rPr>
        <w:t>办法》）规定，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成绩排名位于年级同一专业排名未进入5%，但达到前30%（含30%）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的学生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参评中等职业教育国家奖学金在需要满足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道德风尚、专业技能、社会实践、创新能力、综合素质等方面表现特别突出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eastAsia="仿宋" w:cs="仿宋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现依据《办法》精神，对</w:t>
      </w: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</w:rPr>
        <w:t>“表现</w:t>
      </w: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  <w:lang w:val="en-US" w:eastAsia="zh-CN"/>
        </w:rPr>
        <w:t>特别</w:t>
      </w: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</w:rPr>
        <w:t>突出”</w:t>
      </w:r>
      <w:r>
        <w:rPr>
          <w:rFonts w:ascii="Times New Roman" w:eastAsia="仿宋" w:cs="仿宋" w:hAnsi="Times New Roman" w:hint="eastAsia"/>
          <w:color w:val="auto"/>
          <w:kern w:val="0"/>
          <w:sz w:val="32"/>
          <w:szCs w:val="32"/>
          <w:lang w:val="en-US" w:eastAsia="zh-CN"/>
        </w:rPr>
        <w:t>予以说明，原则如下：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Times New Roman" w:eastAsia="黑体" w:cs="黑体" w:hAnsi="Times New Roman" w:hint="eastAsia"/>
          <w:kern w:val="0"/>
          <w:sz w:val="32"/>
          <w:szCs w:val="32"/>
        </w:rPr>
      </w:pPr>
      <w:r>
        <w:rPr>
          <w:rFonts w:ascii="Times New Roman" w:eastAsia="黑体" w:cs="黑体" w:hAnsi="Times New Roman" w:hint="eastAsia"/>
          <w:kern w:val="0"/>
          <w:sz w:val="32"/>
          <w:szCs w:val="32"/>
        </w:rPr>
        <w:t>比（竞）赛、展演等项目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Chars="200" w:firstLine="640"/>
        <w:textAlignment w:val="auto"/>
        <w:rPr>
          <w:rFonts w:ascii="Times New Roman" w:eastAsia="仿宋" w:cs="宋体" w:hAnsi="Times New Roman"/>
          <w:kern w:val="0"/>
          <w:sz w:val="32"/>
          <w:szCs w:val="32"/>
        </w:rPr>
      </w:pPr>
      <w:r>
        <w:rPr>
          <w:rFonts w:ascii="Times New Roman" w:eastAsia="仿宋" w:cs="宋体" w:hAnsi="Times New Roman"/>
          <w:kern w:val="0"/>
          <w:sz w:val="32"/>
          <w:szCs w:val="32"/>
        </w:rPr>
        <w:t>除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《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>评审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办法》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>列明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的职业技能竞赛或专业竞赛之外，具备以下条件的</w:t>
      </w:r>
      <w:r>
        <w:rPr>
          <w:rFonts w:ascii="Times New Roman" w:eastAsia="仿宋" w:cs="宋体" w:hAnsi="Times New Roman"/>
          <w:kern w:val="0"/>
          <w:sz w:val="32"/>
          <w:szCs w:val="32"/>
        </w:rPr>
        <w:t>比（竞）赛项目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、</w:t>
      </w:r>
      <w:r>
        <w:rPr>
          <w:rFonts w:ascii="Times New Roman" w:eastAsia="仿宋" w:cs="宋体" w:hAnsi="Times New Roman"/>
          <w:kern w:val="0"/>
          <w:sz w:val="32"/>
          <w:szCs w:val="32"/>
        </w:rPr>
        <w:t>展演列入参考范围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Times New Roman" w:eastAsia="仿宋" w:cs="仿宋" w:hAnsi="Times New Roman"/>
          <w:kern w:val="0"/>
          <w:sz w:val="32"/>
          <w:szCs w:val="32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</w:rPr>
        <w:t xml:space="preserve">    1. 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国家部委组织的比（竞）赛、展演等项目；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Times New Roman" w:eastAsia="仿宋" w:cs="仿宋" w:hAnsi="Times New Roman"/>
          <w:kern w:val="0"/>
          <w:sz w:val="32"/>
          <w:szCs w:val="32"/>
        </w:rPr>
      </w:pPr>
      <w:r>
        <w:rPr>
          <w:rFonts w:ascii="Times New Roman" w:eastAsia="仿宋" w:cs="仿宋" w:hAnsi="Times New Roman" w:hint="eastAsia"/>
          <w:kern w:val="0"/>
          <w:sz w:val="32"/>
          <w:szCs w:val="32"/>
        </w:rPr>
        <w:t xml:space="preserve">    2. 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国家部委直属职能机构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组织或参与、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影响力较大的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比（竞）赛等项目；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Times New Roman" w:eastAsia="仿宋" w:cs="宋体" w:hAnsi="Times New Roman"/>
          <w:kern w:val="0"/>
          <w:sz w:val="32"/>
          <w:szCs w:val="32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</w:rPr>
        <w:t xml:space="preserve">    3. 全国性相关协会（学会）或组委会举办的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比（竞）赛、展演等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项目；</w:t>
      </w:r>
      <w:r>
        <w:rPr>
          <w:rFonts w:ascii="Times New Roman" w:eastAsia="仿宋" w:cs="宋体" w:hAnsi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Times New Roman" w:eastAsia="仿宋" w:cs="宋体" w:hAnsi="Times New Roman"/>
          <w:kern w:val="0"/>
          <w:sz w:val="32"/>
          <w:szCs w:val="32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</w:rPr>
        <w:t xml:space="preserve">    4. 全国性相关职业教育教学指导委员会举办的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比（竞）赛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；</w:t>
      </w:r>
      <w:r>
        <w:rPr>
          <w:rFonts w:ascii="Times New Roman" w:eastAsia="仿宋" w:cs="宋体" w:hAnsi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Chars="200" w:firstLine="640"/>
        <w:textAlignment w:val="auto"/>
        <w:rPr>
          <w:rFonts w:ascii="Times New Roman" w:eastAsia="仿宋" w:cs="仿宋" w:hAnsi="Times New Roman" w:hint="eastAsia"/>
          <w:kern w:val="0"/>
          <w:sz w:val="32"/>
          <w:szCs w:val="32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</w:rPr>
        <w:t>5.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国（洲）际相关机构组织、影响力较大的国（洲）际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比（竞）赛；</w:t>
      </w:r>
    </w:p>
    <w:p>
      <w:pPr>
        <w:pStyle w:val="16"/>
        <w:ind w:leftChars="0" w:left="0"/>
        <w:rPr>
          <w:rFonts w:eastAsia="宋体"/>
          <w:lang w:val="en-US" w:eastAsia="zh-CN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>6. 全国性相关协会（学会）的分会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举办的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eastAsia="zh-CN"/>
        </w:rPr>
        <w:t>、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>与职业教育关联度大的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比（竞）赛</w:t>
      </w:r>
      <w:r>
        <w:rPr>
          <w:rFonts w:ascii="Times New Roman" w:eastAsia="仿宋" w:cs="仿宋" w:hAnsi="Times New Roman" w:hint="eastAsia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Times New Roman" w:eastAsia="仿宋" w:cs="宋体" w:hAnsi="Times New Roman"/>
          <w:kern w:val="0"/>
          <w:sz w:val="32"/>
          <w:szCs w:val="32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 xml:space="preserve"> 7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 xml:space="preserve">. </w:t>
      </w:r>
      <w:r>
        <w:rPr>
          <w:rFonts w:ascii="Times New Roman" w:eastAsia="仿宋" w:cs="宋体" w:hAnsi="Times New Roman" w:hint="eastAsia"/>
          <w:kern w:val="0"/>
          <w:sz w:val="30"/>
          <w:szCs w:val="30"/>
        </w:rPr>
        <w:t>世界500强公司（企业）举办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、在行业内影响力较大的比</w:t>
      </w:r>
      <w:r>
        <w:rPr>
          <w:rFonts w:ascii="Times New Roman" w:eastAsia="仿宋" w:cs="仿宋" w:hAnsi="Times New Roman" w:hint="eastAsia"/>
          <w:kern w:val="0"/>
          <w:sz w:val="32"/>
          <w:szCs w:val="32"/>
        </w:rPr>
        <w:t>（竞）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5"/>
        <w:textAlignment w:val="auto"/>
        <w:rPr>
          <w:rFonts w:ascii="Times New Roman" w:eastAsia="仿宋" w:cs="宋体" w:hAnsi="Times New Roman" w:hint="eastAsia"/>
          <w:kern w:val="0"/>
          <w:sz w:val="32"/>
          <w:szCs w:val="32"/>
          <w:lang w:eastAsia="zh-CN"/>
        </w:rPr>
      </w:pPr>
      <w:r>
        <w:rPr>
          <w:rFonts w:ascii="Times New Roman" w:eastAsia="仿宋" w:cs="宋体" w:hAnsi="Times New Roman" w:hint="eastAsia"/>
          <w:kern w:val="0"/>
          <w:sz w:val="32"/>
          <w:szCs w:val="32"/>
          <w:lang w:val="en-US" w:eastAsia="zh-CN"/>
        </w:rPr>
        <w:t>8</w:t>
      </w:r>
      <w:r>
        <w:rPr>
          <w:rFonts w:ascii="Times New Roman" w:eastAsia="仿宋" w:cs="宋体" w:hAnsi="Times New Roman" w:hint="eastAsia"/>
          <w:kern w:val="0"/>
          <w:sz w:val="32"/>
          <w:szCs w:val="32"/>
        </w:rPr>
        <w:t>. 省级厅、局、委、工会、共青团组织或参与的</w:t>
      </w:r>
      <w:r>
        <w:rPr>
          <w:rFonts w:ascii="Times New Roman" w:eastAsia="仿宋" w:cs="宋体" w:hAnsi="Times New Roman"/>
          <w:kern w:val="0"/>
          <w:sz w:val="32"/>
          <w:szCs w:val="32"/>
        </w:rPr>
        <w:t>比（竞）赛</w:t>
      </w:r>
      <w:r>
        <w:rPr>
          <w:rFonts w:ascii="Times New Roman" w:eastAsia="仿宋" w:cs="宋体" w:hAnsi="Times New Roman" w:hint="eastAsia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Times New Roman" w:eastAsia="黑体" w:cs="宋体" w:hAnsi="Times New Roman"/>
          <w:kern w:val="0"/>
          <w:sz w:val="32"/>
          <w:szCs w:val="32"/>
        </w:rPr>
      </w:pPr>
      <w:r>
        <w:rPr>
          <w:rFonts w:ascii="Times New Roman" w:eastAsia="黑体" w:cs="宋体" w:hAnsi="Times New Roman" w:hint="eastAsia"/>
          <w:kern w:val="0"/>
          <w:sz w:val="32"/>
          <w:szCs w:val="32"/>
        </w:rPr>
        <w:t>在社会主义精神文明建设中表现突出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 w:firstLine="640"/>
        <w:textAlignment w:val="auto"/>
        <w:rPr>
          <w:rFonts w:ascii="仿宋" w:eastAsia="仿宋" w:cs="仿宋" w:hint="eastAsia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kern w:val="0"/>
          <w:sz w:val="32"/>
          <w:szCs w:val="32"/>
          <w:lang w:eastAsia="zh-CN"/>
        </w:rPr>
        <w:t>《</w:t>
      </w:r>
      <w:r>
        <w:rPr>
          <w:rFonts w:ascii="仿宋" w:eastAsia="仿宋" w:cs="仿宋" w:hint="eastAsia"/>
          <w:kern w:val="0"/>
          <w:sz w:val="32"/>
          <w:szCs w:val="32"/>
          <w:lang w:val="en-US" w:eastAsia="zh-CN"/>
        </w:rPr>
        <w:t>评审办法</w:t>
      </w:r>
      <w:r>
        <w:rPr>
          <w:rFonts w:ascii="仿宋" w:eastAsia="仿宋" w:cs="仿宋" w:hint="eastAsia"/>
          <w:kern w:val="0"/>
          <w:sz w:val="32"/>
          <w:szCs w:val="32"/>
          <w:lang w:eastAsia="zh-CN"/>
        </w:rPr>
        <w:t>》</w:t>
      </w:r>
      <w:r>
        <w:rPr>
          <w:rFonts w:ascii="仿宋" w:eastAsia="仿宋" w:cs="仿宋" w:hint="eastAsia"/>
          <w:kern w:val="0"/>
          <w:sz w:val="32"/>
          <w:szCs w:val="32"/>
          <w:lang w:val="en-US" w:eastAsia="zh-CN"/>
        </w:rPr>
        <w:t>中“</w:t>
      </w:r>
      <w:r>
        <w:rPr>
          <w:rFonts w:ascii="仿宋" w:eastAsia="仿宋" w:cs="仿宋" w:hint="eastAsia"/>
          <w:kern w:val="0"/>
          <w:sz w:val="32"/>
          <w:szCs w:val="32"/>
        </w:rPr>
        <w:t>在社会主义精神文明建设中表现突出</w:t>
      </w:r>
      <w:r>
        <w:rPr>
          <w:rFonts w:ascii="仿宋" w:eastAsia="仿宋" w:cs="仿宋" w:hint="eastAsia"/>
          <w:kern w:val="0"/>
          <w:sz w:val="32"/>
          <w:szCs w:val="32"/>
          <w:lang w:val="en-US" w:eastAsia="zh-CN"/>
        </w:rPr>
        <w:t>”建议以“</w:t>
      </w:r>
      <w:r>
        <w:rPr>
          <w:rFonts w:ascii="仿宋" w:eastAsia="仿宋" w:cs="仿宋" w:hint="eastAsia"/>
          <w:sz w:val="32"/>
          <w:szCs w:val="32"/>
          <w:lang w:val="en-US" w:eastAsia="zh-CN"/>
        </w:rPr>
        <w:t>在区（县）级及以上地区产生重大影响，被区（县）级及以上官方媒体宣传报道</w:t>
      </w:r>
      <w:r>
        <w:rPr>
          <w:rFonts w:ascii="仿宋" w:eastAsia="仿宋" w:cs="仿宋" w:hint="eastAsia"/>
          <w:kern w:val="0"/>
          <w:sz w:val="32"/>
          <w:szCs w:val="32"/>
          <w:lang w:val="en-US" w:eastAsia="zh-CN"/>
        </w:rPr>
        <w:t>”为参考</w:t>
      </w:r>
      <w:r>
        <w:rPr>
          <w:rFonts w:ascii="仿宋" w:eastAsia="仿宋" w:cs="仿宋" w:hint="eastAsia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Times New Roman" w:eastAsia="仿宋" w:cs="宋体" w:hAnsi="Times New Roman" w:hint="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Times New Roman" w:eastAsia="仿宋" w:hAnsi="Times New Roman"/>
          <w:sz w:val="32"/>
          <w:szCs w:val="32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499" cy="230251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rokeweight="0.5pt" style="position:absolute;margin-left:0.0pt;margin-top:0.0pt;width:34.999985pt;height:18.130003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69737A1"/>
    <w:multiLevelType w:val="multilevel"/>
    <w:tmpl w:val="269737A1"/>
    <w:lvl w:ilvl="0">
      <w:start w:val="1"/>
      <w:numFmt w:val="japaneseCounting"/>
      <w:lvlRestart w:val="0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oNotDisplayPageBoundarie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OWM1MmZmNGI2M2M3NTI3ZGVhOWI2MGY1NjQ3NWU1Yz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pPr>
      <w:ind w:firstLineChars="200" w:firstLine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554</Words>
  <Characters>572</Characters>
  <Lines>33</Lines>
  <Paragraphs>15</Paragraphs>
  <CharactersWithSpaces>604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职教资助处</dc:creator>
  <cp:lastModifiedBy>user</cp:lastModifiedBy>
  <cp:revision>1</cp:revision>
  <cp:lastPrinted>2023-09-19T00:53:00Z</cp:lastPrinted>
  <dcterms:created xsi:type="dcterms:W3CDTF">2022-09-08T08:08:00Z</dcterms:created>
  <dcterms:modified xsi:type="dcterms:W3CDTF">2024-09-29T07:37:47Z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2052-12.1.0.17827</vt:lpwstr>
  </property>
  <property fmtid="{D5CDD505-2E9C-101B-9397-08002B2CF9AE}" pid="3" name="ICV">
    <vt:lpwstr>E137795F082A4060AFF550628A38778F_13</vt:lpwstr>
  </property>
</Properties>
</file>