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9B" w:rsidRPr="00AE1F1A" w:rsidRDefault="002E1F9B" w:rsidP="00AE1F1A">
      <w:pPr>
        <w:adjustRightInd w:val="0"/>
        <w:snapToGrid w:val="0"/>
        <w:spacing w:line="56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附件</w:t>
      </w:r>
      <w:r>
        <w:rPr>
          <w:rFonts w:ascii="仿宋_GB2312" w:eastAsia="仿宋_GB2312" w:hAnsi="仿宋"/>
          <w:sz w:val="28"/>
          <w:szCs w:val="28"/>
        </w:rPr>
        <w:t>1</w:t>
      </w:r>
    </w:p>
    <w:p w:rsidR="002E1F9B" w:rsidRPr="00AE1F1A" w:rsidRDefault="002E1F9B" w:rsidP="00AE1F1A">
      <w:pPr>
        <w:adjustRightInd w:val="0"/>
        <w:snapToGrid w:val="0"/>
        <w:spacing w:line="560" w:lineRule="exact"/>
        <w:jc w:val="center"/>
        <w:rPr>
          <w:rFonts w:ascii="宋体"/>
          <w:b/>
          <w:sz w:val="44"/>
          <w:szCs w:val="44"/>
        </w:rPr>
      </w:pPr>
      <w:r w:rsidRPr="00AE1F1A">
        <w:rPr>
          <w:rFonts w:ascii="宋体" w:hAnsi="宋体" w:hint="eastAsia"/>
          <w:b/>
          <w:sz w:val="44"/>
          <w:szCs w:val="44"/>
        </w:rPr>
        <w:t>培</w:t>
      </w:r>
      <w:r w:rsidRPr="00AE1F1A">
        <w:rPr>
          <w:rFonts w:ascii="宋体" w:hAnsi="宋体"/>
          <w:b/>
          <w:sz w:val="44"/>
          <w:szCs w:val="44"/>
        </w:rPr>
        <w:t xml:space="preserve"> </w:t>
      </w:r>
      <w:r w:rsidRPr="00AE1F1A">
        <w:rPr>
          <w:rFonts w:ascii="宋体" w:hAnsi="宋体" w:hint="eastAsia"/>
          <w:b/>
          <w:sz w:val="44"/>
          <w:szCs w:val="44"/>
        </w:rPr>
        <w:t>训</w:t>
      </w:r>
      <w:r w:rsidRPr="00AE1F1A">
        <w:rPr>
          <w:rFonts w:ascii="宋体" w:hAnsi="宋体"/>
          <w:b/>
          <w:sz w:val="44"/>
          <w:szCs w:val="44"/>
        </w:rPr>
        <w:t xml:space="preserve"> </w:t>
      </w:r>
      <w:r w:rsidRPr="00AE1F1A">
        <w:rPr>
          <w:rFonts w:ascii="宋体" w:hAnsi="宋体" w:hint="eastAsia"/>
          <w:b/>
          <w:sz w:val="44"/>
          <w:szCs w:val="44"/>
        </w:rPr>
        <w:t>内</w:t>
      </w:r>
      <w:r w:rsidRPr="00AE1F1A">
        <w:rPr>
          <w:rFonts w:ascii="宋体" w:hAnsi="宋体"/>
          <w:b/>
          <w:sz w:val="44"/>
          <w:szCs w:val="44"/>
        </w:rPr>
        <w:t xml:space="preserve"> </w:t>
      </w:r>
      <w:r w:rsidRPr="00AE1F1A">
        <w:rPr>
          <w:rFonts w:ascii="宋体" w:hAnsi="宋体" w:hint="eastAsia"/>
          <w:b/>
          <w:sz w:val="44"/>
          <w:szCs w:val="44"/>
        </w:rPr>
        <w:t>容</w:t>
      </w:r>
      <w:r w:rsidRPr="00AE1F1A">
        <w:rPr>
          <w:rFonts w:ascii="宋体" w:hAnsi="宋体"/>
          <w:b/>
          <w:sz w:val="44"/>
          <w:szCs w:val="44"/>
        </w:rPr>
        <w:t xml:space="preserve"> </w:t>
      </w:r>
      <w:r w:rsidRPr="00AE1F1A">
        <w:rPr>
          <w:rFonts w:ascii="宋体" w:hAnsi="宋体" w:hint="eastAsia"/>
          <w:b/>
          <w:sz w:val="44"/>
          <w:szCs w:val="44"/>
        </w:rPr>
        <w:t>简</w:t>
      </w:r>
      <w:r w:rsidRPr="00AE1F1A">
        <w:rPr>
          <w:rFonts w:ascii="宋体" w:hAnsi="宋体"/>
          <w:b/>
          <w:sz w:val="44"/>
          <w:szCs w:val="44"/>
        </w:rPr>
        <w:t xml:space="preserve"> </w:t>
      </w:r>
      <w:r w:rsidRPr="00AE1F1A">
        <w:rPr>
          <w:rFonts w:ascii="宋体" w:hAnsi="宋体" w:hint="eastAsia"/>
          <w:b/>
          <w:sz w:val="44"/>
          <w:szCs w:val="44"/>
        </w:rPr>
        <w:t>介</w:t>
      </w:r>
    </w:p>
    <w:p w:rsidR="002E1F9B" w:rsidRDefault="002E1F9B" w:rsidP="00AE1F1A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b/>
          <w:bCs/>
          <w:color w:val="000000"/>
          <w:sz w:val="24"/>
          <w:szCs w:val="24"/>
        </w:rPr>
      </w:pPr>
    </w:p>
    <w:p w:rsidR="002E1F9B" w:rsidRPr="00AE1F1A" w:rsidRDefault="002E1F9B" w:rsidP="00AE1F1A">
      <w:pPr>
        <w:adjustRightInd w:val="0"/>
        <w:snapToGrid w:val="0"/>
        <w:spacing w:line="560" w:lineRule="exact"/>
        <w:ind w:firstLineChars="200" w:firstLine="31680"/>
        <w:rPr>
          <w:rFonts w:ascii="仿宋_GB2312" w:hAnsi="仿宋"/>
          <w:color w:val="000000"/>
          <w:sz w:val="24"/>
          <w:szCs w:val="24"/>
        </w:rPr>
      </w:pPr>
      <w:r>
        <w:rPr>
          <w:rFonts w:ascii="仿宋_GB2312" w:eastAsia="仿宋_GB2312" w:hAnsi="仿宋" w:hint="eastAsia"/>
          <w:b/>
          <w:bCs/>
          <w:color w:val="000000"/>
          <w:sz w:val="24"/>
          <w:szCs w:val="24"/>
        </w:rPr>
        <w:t>沙盘培训讲师：</w:t>
      </w:r>
      <w:r>
        <w:rPr>
          <w:rFonts w:ascii="仿宋_GB2312" w:eastAsia="仿宋_GB2312" w:hAnsi="仿宋" w:hint="eastAsia"/>
          <w:color w:val="000000"/>
          <w:sz w:val="24"/>
          <w:szCs w:val="24"/>
        </w:rPr>
        <w:t>魏广东，中国沙盘游戏学院院长；北京师范大学发展与教育心理学硕士、中国心理学会会员；曾在中国石油大学（北京）工作</w:t>
      </w:r>
      <w:r>
        <w:rPr>
          <w:rFonts w:ascii="仿宋_GB2312" w:eastAsia="仿宋_GB2312" w:hAnsi="仿宋"/>
          <w:color w:val="000000"/>
          <w:sz w:val="24"/>
          <w:szCs w:val="24"/>
        </w:rPr>
        <w:t>12</w:t>
      </w:r>
      <w:r>
        <w:rPr>
          <w:rFonts w:ascii="仿宋_GB2312" w:eastAsia="仿宋_GB2312" w:hAnsi="仿宋" w:hint="eastAsia"/>
          <w:color w:val="000000"/>
          <w:sz w:val="24"/>
          <w:szCs w:val="24"/>
        </w:rPr>
        <w:t>年，任心理讲师；国家教师科研基金“十二五”规划重点课题</w:t>
      </w:r>
      <w:r>
        <w:rPr>
          <w:rFonts w:ascii="仿宋_GB2312" w:eastAsia="仿宋_GB2312" w:hAnsi="仿宋"/>
          <w:color w:val="000000"/>
          <w:sz w:val="24"/>
          <w:szCs w:val="24"/>
        </w:rPr>
        <w:t>——</w:t>
      </w:r>
      <w:r>
        <w:rPr>
          <w:rFonts w:ascii="仿宋_GB2312" w:eastAsia="仿宋_GB2312" w:hAnsi="仿宋" w:hint="eastAsia"/>
          <w:color w:val="000000"/>
          <w:sz w:val="24"/>
          <w:szCs w:val="24"/>
        </w:rPr>
        <w:t>《沙盘游戏在幼儿及中小学生教育中的应用研究》专家。主要研究方向：荣格分析心理学、沙盘游戏疗法及其在教育中的应用。主要著述：《不能不学的心理治疗方法：沙盘游戏疗法入门》</w:t>
      </w:r>
      <w:r>
        <w:rPr>
          <w:rFonts w:ascii="仿宋_GB2312" w:eastAsia="仿宋_GB2312" w:hAnsi="仿宋"/>
          <w:color w:val="000000"/>
          <w:sz w:val="24"/>
          <w:szCs w:val="24"/>
        </w:rPr>
        <w:t> </w:t>
      </w:r>
      <w:r>
        <w:rPr>
          <w:rFonts w:ascii="仿宋_GB2312" w:eastAsia="仿宋_GB2312" w:hAnsi="仿宋" w:hint="eastAsia"/>
          <w:color w:val="000000"/>
          <w:sz w:val="24"/>
          <w:szCs w:val="24"/>
        </w:rPr>
        <w:t>，</w:t>
      </w:r>
      <w:r>
        <w:rPr>
          <w:rFonts w:ascii="仿宋_GB2312" w:eastAsia="仿宋_GB2312" w:hAnsi="仿宋"/>
          <w:color w:val="000000"/>
          <w:sz w:val="24"/>
          <w:szCs w:val="24"/>
        </w:rPr>
        <w:t>2011</w:t>
      </w:r>
      <w:r>
        <w:rPr>
          <w:rFonts w:ascii="仿宋_GB2312" w:eastAsia="仿宋_GB2312" w:hAnsi="仿宋" w:hint="eastAsia"/>
          <w:color w:val="000000"/>
          <w:sz w:val="24"/>
          <w:szCs w:val="24"/>
        </w:rPr>
        <w:t>年，中石化出版社；《心灵深处的秘密：荣格的分析心理学》，</w:t>
      </w:r>
      <w:r>
        <w:rPr>
          <w:rFonts w:ascii="仿宋_GB2312" w:eastAsia="仿宋_GB2312" w:hAnsi="仿宋"/>
          <w:color w:val="000000"/>
          <w:sz w:val="24"/>
          <w:szCs w:val="24"/>
        </w:rPr>
        <w:t>2012</w:t>
      </w:r>
      <w:r>
        <w:rPr>
          <w:rFonts w:ascii="仿宋_GB2312" w:eastAsia="仿宋_GB2312" w:hAnsi="仿宋" w:hint="eastAsia"/>
          <w:color w:val="000000"/>
          <w:sz w:val="24"/>
          <w:szCs w:val="24"/>
        </w:rPr>
        <w:t>年，北京师范大学出版社</w:t>
      </w:r>
      <w:r>
        <w:rPr>
          <w:rFonts w:ascii="MS Mincho" w:eastAsia="MS Mincho" w:hAnsi="MS Mincho" w:cs="MS Mincho" w:hint="eastAsia"/>
          <w:color w:val="000000"/>
          <w:sz w:val="24"/>
          <w:szCs w:val="24"/>
        </w:rPr>
        <w:t>​</w:t>
      </w:r>
      <w:r>
        <w:rPr>
          <w:rFonts w:ascii="MS Mincho" w:hAnsi="MS Mincho" w:cs="MS Mincho" w:hint="eastAsia"/>
          <w:color w:val="000000"/>
          <w:sz w:val="24"/>
          <w:szCs w:val="24"/>
        </w:rPr>
        <w:t>。</w:t>
      </w:r>
    </w:p>
    <w:p w:rsidR="002E1F9B" w:rsidRDefault="002E1F9B" w:rsidP="00AE1F1A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b/>
          <w:bCs/>
          <w:color w:val="000000"/>
          <w:sz w:val="24"/>
          <w:szCs w:val="24"/>
        </w:rPr>
      </w:pPr>
      <w:r>
        <w:rPr>
          <w:rFonts w:ascii="仿宋_GB2312" w:eastAsia="仿宋_GB2312" w:hAnsi="仿宋" w:hint="eastAsia"/>
          <w:b/>
          <w:bCs/>
          <w:color w:val="000000"/>
          <w:sz w:val="24"/>
          <w:szCs w:val="24"/>
        </w:rPr>
        <w:t>培训安排</w:t>
      </w:r>
      <w:r>
        <w:rPr>
          <w:rFonts w:ascii="仿宋_GB2312" w:eastAsia="仿宋_GB2312" w:hAnsi="仿宋"/>
          <w:b/>
          <w:bCs/>
          <w:color w:val="000000"/>
          <w:sz w:val="24"/>
          <w:szCs w:val="24"/>
        </w:rPr>
        <w:t>:</w:t>
      </w: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8"/>
        <w:gridCol w:w="1980"/>
        <w:gridCol w:w="5321"/>
      </w:tblGrid>
      <w:tr w:rsidR="002E1F9B">
        <w:trPr>
          <w:jc w:val="center"/>
        </w:trPr>
        <w:tc>
          <w:tcPr>
            <w:tcW w:w="1228" w:type="dxa"/>
          </w:tcPr>
          <w:p w:rsidR="002E1F9B" w:rsidRDefault="002E1F9B" w:rsidP="00AE1F1A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980" w:type="dxa"/>
          </w:tcPr>
          <w:p w:rsidR="002E1F9B" w:rsidRDefault="002E1F9B" w:rsidP="00AE1F1A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5321" w:type="dxa"/>
          </w:tcPr>
          <w:p w:rsidR="002E1F9B" w:rsidRDefault="002E1F9B" w:rsidP="00AE1F1A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主要内容</w:t>
            </w:r>
          </w:p>
        </w:tc>
      </w:tr>
      <w:tr w:rsidR="002E1F9B">
        <w:trPr>
          <w:jc w:val="center"/>
        </w:trPr>
        <w:tc>
          <w:tcPr>
            <w:tcW w:w="1228" w:type="dxa"/>
            <w:vMerge w:val="restart"/>
            <w:vAlign w:val="center"/>
          </w:tcPr>
          <w:p w:rsidR="002E1F9B" w:rsidRDefault="002E1F9B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20"/>
              </w:smartTagPr>
              <w:r>
                <w:rPr>
                  <w:rFonts w:ascii="仿宋_GB2312" w:eastAsia="仿宋_GB2312" w:hAnsi="仿宋"/>
                  <w:color w:val="000000"/>
                  <w:sz w:val="24"/>
                  <w:szCs w:val="24"/>
                </w:rPr>
                <w:t>12</w:t>
              </w:r>
              <w:r>
                <w:rPr>
                  <w:rFonts w:ascii="仿宋_GB2312" w:eastAsia="仿宋_GB2312" w:hAnsi="仿宋" w:hint="eastAsia"/>
                  <w:color w:val="000000"/>
                  <w:sz w:val="24"/>
                  <w:szCs w:val="24"/>
                </w:rPr>
                <w:t>月</w:t>
              </w:r>
              <w:r>
                <w:rPr>
                  <w:rFonts w:ascii="仿宋_GB2312" w:eastAsia="仿宋_GB2312" w:hAnsi="仿宋"/>
                  <w:color w:val="000000"/>
                  <w:sz w:val="24"/>
                  <w:szCs w:val="24"/>
                </w:rPr>
                <w:t>1</w:t>
              </w:r>
              <w:r>
                <w:rPr>
                  <w:rFonts w:ascii="仿宋_GB2312" w:eastAsia="仿宋_GB2312" w:hAnsi="仿宋" w:hint="eastAsia"/>
                  <w:color w:val="000000"/>
                  <w:sz w:val="24"/>
                  <w:szCs w:val="24"/>
                </w:rPr>
                <w:t>日</w:t>
              </w:r>
            </w:smartTag>
          </w:p>
        </w:tc>
        <w:tc>
          <w:tcPr>
            <w:tcW w:w="1980" w:type="dxa"/>
            <w:vAlign w:val="center"/>
          </w:tcPr>
          <w:p w:rsidR="002E1F9B" w:rsidRDefault="002E1F9B" w:rsidP="00AE1F1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8:20-11:30</w:t>
            </w:r>
          </w:p>
        </w:tc>
        <w:tc>
          <w:tcPr>
            <w:tcW w:w="5321" w:type="dxa"/>
          </w:tcPr>
          <w:p w:rsidR="002E1F9B" w:rsidRDefault="002E1F9B" w:rsidP="002E1F9B">
            <w:pPr>
              <w:adjustRightInd w:val="0"/>
              <w:snapToGrid w:val="0"/>
              <w:spacing w:line="440" w:lineRule="exact"/>
              <w:ind w:firstLineChars="200" w:firstLine="316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沙盘破冰：沙盘游戏新应用</w:t>
            </w:r>
          </w:p>
          <w:p w:rsidR="002E1F9B" w:rsidRDefault="002E1F9B" w:rsidP="002E1F9B">
            <w:pPr>
              <w:adjustRightInd w:val="0"/>
              <w:snapToGrid w:val="0"/>
              <w:spacing w:line="440" w:lineRule="exact"/>
              <w:ind w:firstLineChars="200" w:firstLine="316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沙盘游戏的概念及案例。</w:t>
            </w:r>
          </w:p>
        </w:tc>
      </w:tr>
      <w:tr w:rsidR="002E1F9B">
        <w:trPr>
          <w:trHeight w:val="410"/>
          <w:jc w:val="center"/>
        </w:trPr>
        <w:tc>
          <w:tcPr>
            <w:tcW w:w="1228" w:type="dxa"/>
            <w:vMerge/>
            <w:vAlign w:val="center"/>
          </w:tcPr>
          <w:p w:rsidR="002E1F9B" w:rsidRDefault="002E1F9B" w:rsidP="002E1F9B">
            <w:pPr>
              <w:adjustRightInd w:val="0"/>
              <w:snapToGrid w:val="0"/>
              <w:spacing w:line="560" w:lineRule="exact"/>
              <w:ind w:firstLineChars="200" w:firstLine="316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E1F9B" w:rsidRDefault="002E1F9B" w:rsidP="00AE1F1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13:30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5321" w:type="dxa"/>
          </w:tcPr>
          <w:p w:rsidR="002E1F9B" w:rsidRDefault="002E1F9B" w:rsidP="002E1F9B">
            <w:pPr>
              <w:adjustRightInd w:val="0"/>
              <w:snapToGrid w:val="0"/>
              <w:spacing w:line="440" w:lineRule="exact"/>
              <w:ind w:firstLineChars="200" w:firstLine="316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沙盘游戏治疗的原理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;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沙盘游戏应用范围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;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沙盘游戏主要形式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;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沙盘游戏的配置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;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沙具的象征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;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沙盘游戏新进展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;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团体沙盘游戏体验。</w:t>
            </w:r>
          </w:p>
        </w:tc>
      </w:tr>
      <w:tr w:rsidR="002E1F9B">
        <w:trPr>
          <w:jc w:val="center"/>
        </w:trPr>
        <w:tc>
          <w:tcPr>
            <w:tcW w:w="1228" w:type="dxa"/>
            <w:vMerge w:val="restart"/>
            <w:vAlign w:val="center"/>
          </w:tcPr>
          <w:p w:rsidR="002E1F9B" w:rsidRDefault="002E1F9B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2"/>
                <w:attr w:name="Year" w:val="2020"/>
              </w:smartTagPr>
              <w:r>
                <w:rPr>
                  <w:rFonts w:ascii="仿宋_GB2312" w:eastAsia="仿宋_GB2312" w:hAnsi="仿宋"/>
                  <w:color w:val="000000"/>
                  <w:sz w:val="24"/>
                  <w:szCs w:val="24"/>
                </w:rPr>
                <w:t>12</w:t>
              </w:r>
              <w:r>
                <w:rPr>
                  <w:rFonts w:ascii="仿宋_GB2312" w:eastAsia="仿宋_GB2312" w:hAnsi="仿宋" w:hint="eastAsia"/>
                  <w:color w:val="000000"/>
                  <w:sz w:val="24"/>
                  <w:szCs w:val="24"/>
                </w:rPr>
                <w:t>月</w:t>
              </w:r>
              <w:r>
                <w:rPr>
                  <w:rFonts w:ascii="仿宋_GB2312" w:eastAsia="仿宋_GB2312" w:hAnsi="仿宋"/>
                  <w:color w:val="000000"/>
                  <w:sz w:val="24"/>
                  <w:szCs w:val="24"/>
                </w:rPr>
                <w:t>2</w:t>
              </w:r>
              <w:r>
                <w:rPr>
                  <w:rFonts w:ascii="仿宋_GB2312" w:eastAsia="仿宋_GB2312" w:hAnsi="仿宋" w:hint="eastAsia"/>
                  <w:color w:val="000000"/>
                  <w:sz w:val="24"/>
                  <w:szCs w:val="24"/>
                </w:rPr>
                <w:t>日</w:t>
              </w:r>
            </w:smartTag>
          </w:p>
        </w:tc>
        <w:tc>
          <w:tcPr>
            <w:tcW w:w="1980" w:type="dxa"/>
            <w:vAlign w:val="center"/>
          </w:tcPr>
          <w:p w:rsidR="002E1F9B" w:rsidRDefault="002E1F9B" w:rsidP="00AE1F1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8:20-11:30</w:t>
            </w:r>
          </w:p>
        </w:tc>
        <w:tc>
          <w:tcPr>
            <w:tcW w:w="5321" w:type="dxa"/>
          </w:tcPr>
          <w:p w:rsidR="002E1F9B" w:rsidRDefault="002E1F9B" w:rsidP="002E1F9B">
            <w:pPr>
              <w:adjustRightInd w:val="0"/>
              <w:snapToGrid w:val="0"/>
              <w:spacing w:line="440" w:lineRule="exact"/>
              <w:ind w:firstLineChars="200" w:firstLine="316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个体沙盘游戏的操作技术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;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个体沙盘游戏演示。</w:t>
            </w:r>
          </w:p>
        </w:tc>
      </w:tr>
      <w:tr w:rsidR="002E1F9B">
        <w:trPr>
          <w:jc w:val="center"/>
        </w:trPr>
        <w:tc>
          <w:tcPr>
            <w:tcW w:w="1228" w:type="dxa"/>
            <w:vMerge/>
            <w:vAlign w:val="center"/>
          </w:tcPr>
          <w:p w:rsidR="002E1F9B" w:rsidRDefault="002E1F9B" w:rsidP="002E1F9B">
            <w:pPr>
              <w:adjustRightInd w:val="0"/>
              <w:snapToGrid w:val="0"/>
              <w:spacing w:line="560" w:lineRule="exact"/>
              <w:ind w:firstLineChars="200" w:firstLine="316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E1F9B" w:rsidRDefault="002E1F9B" w:rsidP="00AE1F1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13:30-16:30</w:t>
            </w:r>
          </w:p>
        </w:tc>
        <w:tc>
          <w:tcPr>
            <w:tcW w:w="5321" w:type="dxa"/>
          </w:tcPr>
          <w:p w:rsidR="002E1F9B" w:rsidRDefault="002E1F9B" w:rsidP="002E1F9B">
            <w:pPr>
              <w:adjustRightInd w:val="0"/>
              <w:snapToGrid w:val="0"/>
              <w:spacing w:line="440" w:lineRule="exact"/>
              <w:ind w:firstLineChars="200" w:firstLine="316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团体沙盘游戏操作技术；沙盘游戏的创新应用：沙盘写作文、学英语、创意课。</w:t>
            </w:r>
          </w:p>
          <w:p w:rsidR="002E1F9B" w:rsidRDefault="002E1F9B" w:rsidP="002E1F9B">
            <w:pPr>
              <w:adjustRightInd w:val="0"/>
              <w:snapToGrid w:val="0"/>
              <w:spacing w:line="440" w:lineRule="exact"/>
              <w:ind w:firstLineChars="200" w:firstLine="316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课程总结。</w:t>
            </w:r>
          </w:p>
        </w:tc>
      </w:tr>
      <w:tr w:rsidR="002E1F9B" w:rsidTr="00AE1F1A">
        <w:trPr>
          <w:trHeight w:val="718"/>
          <w:jc w:val="center"/>
        </w:trPr>
        <w:tc>
          <w:tcPr>
            <w:tcW w:w="1228" w:type="dxa"/>
            <w:vMerge w:val="restart"/>
            <w:vAlign w:val="center"/>
          </w:tcPr>
          <w:p w:rsidR="002E1F9B" w:rsidRDefault="002E1F9B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2"/>
                <w:attr w:name="Year" w:val="2020"/>
              </w:smartTagPr>
              <w:r>
                <w:rPr>
                  <w:rFonts w:ascii="仿宋_GB2312" w:eastAsia="仿宋_GB2312" w:hAnsi="仿宋"/>
                  <w:color w:val="000000"/>
                  <w:sz w:val="24"/>
                  <w:szCs w:val="24"/>
                </w:rPr>
                <w:t>12</w:t>
              </w:r>
              <w:r>
                <w:rPr>
                  <w:rFonts w:ascii="仿宋_GB2312" w:eastAsia="仿宋_GB2312" w:hAnsi="仿宋" w:hint="eastAsia"/>
                  <w:color w:val="000000"/>
                  <w:sz w:val="24"/>
                  <w:szCs w:val="24"/>
                </w:rPr>
                <w:t>月</w:t>
              </w:r>
              <w:r>
                <w:rPr>
                  <w:rFonts w:ascii="仿宋_GB2312" w:eastAsia="仿宋_GB2312" w:hAnsi="仿宋"/>
                  <w:color w:val="000000"/>
                  <w:sz w:val="24"/>
                  <w:szCs w:val="24"/>
                </w:rPr>
                <w:t>3</w:t>
              </w:r>
              <w:r>
                <w:rPr>
                  <w:rFonts w:ascii="仿宋_GB2312" w:eastAsia="仿宋_GB2312" w:hAnsi="仿宋" w:hint="eastAsia"/>
                  <w:color w:val="000000"/>
                  <w:sz w:val="24"/>
                  <w:szCs w:val="24"/>
                </w:rPr>
                <w:t>日</w:t>
              </w:r>
            </w:smartTag>
          </w:p>
        </w:tc>
        <w:tc>
          <w:tcPr>
            <w:tcW w:w="1980" w:type="dxa"/>
            <w:vAlign w:val="center"/>
          </w:tcPr>
          <w:p w:rsidR="002E1F9B" w:rsidRDefault="002E1F9B" w:rsidP="00AE1F1A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8:20-11:30</w:t>
            </w:r>
          </w:p>
        </w:tc>
        <w:tc>
          <w:tcPr>
            <w:tcW w:w="5321" w:type="dxa"/>
          </w:tcPr>
          <w:p w:rsidR="002E1F9B" w:rsidRDefault="002E1F9B" w:rsidP="002E1F9B">
            <w:pPr>
              <w:adjustRightInd w:val="0"/>
              <w:snapToGrid w:val="0"/>
              <w:spacing w:line="560" w:lineRule="exact"/>
              <w:ind w:firstLineChars="200" w:firstLine="316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普测心理状态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助力学生成长</w:t>
            </w:r>
            <w:bookmarkStart w:id="0" w:name="_GoBack"/>
            <w:bookmarkEnd w:id="0"/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——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刁山菊</w:t>
            </w:r>
          </w:p>
        </w:tc>
      </w:tr>
      <w:tr w:rsidR="002E1F9B" w:rsidTr="00AE1F1A">
        <w:trPr>
          <w:trHeight w:val="784"/>
          <w:jc w:val="center"/>
        </w:trPr>
        <w:tc>
          <w:tcPr>
            <w:tcW w:w="1228" w:type="dxa"/>
            <w:vMerge/>
            <w:vAlign w:val="center"/>
          </w:tcPr>
          <w:p w:rsidR="002E1F9B" w:rsidRDefault="002E1F9B" w:rsidP="002E1F9B">
            <w:pPr>
              <w:adjustRightInd w:val="0"/>
              <w:snapToGrid w:val="0"/>
              <w:spacing w:line="560" w:lineRule="exact"/>
              <w:ind w:firstLineChars="200" w:firstLine="316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E1F9B" w:rsidRDefault="002E1F9B" w:rsidP="00AE1F1A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13:30-16:30</w:t>
            </w:r>
          </w:p>
        </w:tc>
        <w:tc>
          <w:tcPr>
            <w:tcW w:w="5321" w:type="dxa"/>
          </w:tcPr>
          <w:p w:rsidR="002E1F9B" w:rsidRDefault="002E1F9B" w:rsidP="002E1F9B">
            <w:pPr>
              <w:adjustRightInd w:val="0"/>
              <w:snapToGrid w:val="0"/>
              <w:spacing w:line="560" w:lineRule="exact"/>
              <w:ind w:firstLineChars="200" w:firstLine="316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怎样上好生命教育课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——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李昌林</w:t>
            </w:r>
          </w:p>
        </w:tc>
      </w:tr>
    </w:tbl>
    <w:p w:rsidR="002E1F9B" w:rsidRDefault="002E1F9B">
      <w:pPr>
        <w:adjustRightInd w:val="0"/>
        <w:snapToGrid w:val="0"/>
        <w:spacing w:line="560" w:lineRule="exact"/>
        <w:rPr>
          <w:b/>
          <w:sz w:val="24"/>
          <w:szCs w:val="24"/>
        </w:rPr>
      </w:pPr>
      <w:r>
        <w:rPr>
          <w:rFonts w:ascii="仿宋_GB2312" w:eastAsia="仿宋_GB2312" w:hAnsi="仿宋"/>
          <w:color w:val="000000"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</w:t>
      </w:r>
    </w:p>
    <w:sectPr w:rsidR="002E1F9B" w:rsidSect="00DB0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MS Mincho">
    <w:altName w:val="昒? 瀡?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EEB"/>
    <w:rsid w:val="00045290"/>
    <w:rsid w:val="00072CD7"/>
    <w:rsid w:val="00092652"/>
    <w:rsid w:val="001E5A5F"/>
    <w:rsid w:val="001F6C25"/>
    <w:rsid w:val="0027061D"/>
    <w:rsid w:val="002E1F9B"/>
    <w:rsid w:val="00356A77"/>
    <w:rsid w:val="003A4950"/>
    <w:rsid w:val="003B33AB"/>
    <w:rsid w:val="003F1F52"/>
    <w:rsid w:val="00403E8B"/>
    <w:rsid w:val="00443913"/>
    <w:rsid w:val="00490518"/>
    <w:rsid w:val="006102E2"/>
    <w:rsid w:val="0063727E"/>
    <w:rsid w:val="00641024"/>
    <w:rsid w:val="006476F2"/>
    <w:rsid w:val="006A4594"/>
    <w:rsid w:val="007A1836"/>
    <w:rsid w:val="007F6A44"/>
    <w:rsid w:val="008C3347"/>
    <w:rsid w:val="008E04A8"/>
    <w:rsid w:val="009167F7"/>
    <w:rsid w:val="009C5961"/>
    <w:rsid w:val="009D2549"/>
    <w:rsid w:val="009D285B"/>
    <w:rsid w:val="00A40A9B"/>
    <w:rsid w:val="00AE1F1A"/>
    <w:rsid w:val="00B42B73"/>
    <w:rsid w:val="00C517EB"/>
    <w:rsid w:val="00C743BF"/>
    <w:rsid w:val="00C80814"/>
    <w:rsid w:val="00C94EEB"/>
    <w:rsid w:val="00C97C37"/>
    <w:rsid w:val="00CA4AD3"/>
    <w:rsid w:val="00D324FB"/>
    <w:rsid w:val="00DB0645"/>
    <w:rsid w:val="00DC1B1E"/>
    <w:rsid w:val="00E441E8"/>
    <w:rsid w:val="0E6F66C7"/>
    <w:rsid w:val="10232132"/>
    <w:rsid w:val="26076352"/>
    <w:rsid w:val="361D4935"/>
    <w:rsid w:val="407F059E"/>
    <w:rsid w:val="45F34F34"/>
    <w:rsid w:val="46BD3F63"/>
    <w:rsid w:val="4A66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45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06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64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B0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064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B0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0645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DB064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DB064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B06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83</Words>
  <Characters>479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微软用户</cp:lastModifiedBy>
  <cp:revision>6</cp:revision>
  <cp:lastPrinted>2020-11-24T01:25:00Z</cp:lastPrinted>
  <dcterms:created xsi:type="dcterms:W3CDTF">2020-11-03T02:30:00Z</dcterms:created>
  <dcterms:modified xsi:type="dcterms:W3CDTF">2020-11-24T01:25:00Z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